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            «УТВЕРЖДАЮ «»</w:t>
      </w:r>
      <w:r>
        <w:rPr>
          <w:rFonts w:hint="default" w:ascii="Times New Roman" w:hAnsi="Times New Roman" w:cs="Times New Roman"/>
          <w:sz w:val="22"/>
          <w:szCs w:val="22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-114300</wp:posOffset>
            </wp:positionV>
            <wp:extent cx="2189480" cy="16243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9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2"/>
          <w:szCs w:val="22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-160655</wp:posOffset>
            </wp:positionV>
            <wp:extent cx="1546225" cy="15919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2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Директор Шахматной школы </w:t>
      </w:r>
    </w:p>
    <w:p>
      <w:pPr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Луговой Д.Г.</w:t>
      </w:r>
    </w:p>
    <w:p>
      <w:pPr>
        <w:shd w:val="clear" w:fill="FFFFFF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ПОЛОЖЕНИЕ </w:t>
      </w: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О ПРОВЕДЕНИИ СОРЕВНОВАНИЙ ПО БЫСТРЫМ ШАХМАТАМ</w:t>
      </w: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«КУБОК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»</w:t>
      </w: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(номер-код спортивной дисциплины 0880012811Я)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1. Цели и задачи: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Повышение спортивного мастерства юных участников;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Привлечение детей к регулярным занятиям шахматами;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Воспитание спортивного духа и здорового соперничества у детей и подростках;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Популяризация шахмат через систему массовых соревнований среди мальчиков и девочек;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Определение победителей и призеров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 xml:space="preserve"> турнира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 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«КУБОК 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» в категориях: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А - участники 2015г.р. и моложе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(обсчет ФШР)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В - участники 2013г.р. и моложе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(обсчет ФШР)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С - OPEN без ограничения по возрасту и рейтингу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(обсчет ФИДЕ, ФШР)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numPr>
          <w:ilvl w:val="0"/>
          <w:numId w:val="2"/>
        </w:numPr>
        <w:spacing w:after="0"/>
        <w:ind w:left="0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Место и сроки проведения: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both"/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Соревнование по быстрым шахматам «КУБОК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» проводится 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  <w:lang w:val="ru-RU"/>
        </w:rPr>
        <w:t>14 мая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года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>Т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  <w:lang w:val="ru-RU"/>
        </w:rPr>
        <w:t>Ц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 xml:space="preserve">  «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>»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по адресу: Моск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ва, Хорошевское шоссе 27 (метро Полежаевская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en-US"/>
        </w:rPr>
        <w:t>/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Хорошевская)</w:t>
      </w:r>
    </w:p>
    <w:p>
      <w:pPr>
        <w:shd w:val="clear" w:fill="FFFFFF"/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sz w:val="22"/>
          <w:szCs w:val="22"/>
        </w:rPr>
        <w:br w:type="textWrapping"/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3. Организаторы и руководство проведения: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Общее руководство проведением шахматного турнира осуществляет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д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ирекция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шахматной школы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«64 КЛЕТКИ»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 xml:space="preserve"> и дирекция ТЦ «ХОРОШО!»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.</w:t>
      </w:r>
    </w:p>
    <w:p>
      <w:pPr>
        <w:shd w:val="clear" w:fill="FFFFFF"/>
        <w:spacing w:line="240" w:lineRule="auto"/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Директор турнира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 xml:space="preserve">: </w:t>
      </w:r>
      <w:bookmarkStart w:id="0" w:name="_gjdgxs" w:colFirst="0" w:colLast="0"/>
      <w:bookmarkEnd w:id="0"/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Луговой Дмитрий Георгиевич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, д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иректор 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шахматной школы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 «64 КЛЕТКИ»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 xml:space="preserve">Главный 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  <w:lang w:val="ru-RU"/>
        </w:rPr>
        <w:t>арбитр с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>оревнований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  <w:lang w:val="ru-RU"/>
        </w:rPr>
        <w:t>: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> 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2"/>
          <w:szCs w:val="22"/>
          <w:rtl w:val="0"/>
          <w:lang w:val="ru-RU"/>
        </w:rPr>
        <w:t>Сокрустов Игорь Анатольевич, спортивный судья всероссийской категории, международный арбитр ФИДЕ.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2"/>
          <w:szCs w:val="22"/>
          <w:rtl w:val="0"/>
        </w:rPr>
        <w:t> 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4. 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>Требования к участникам и условия их допуска: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К участию в соревнованиях приглашаются все желающие, без ограничений по возрасту, умеющие играть в шахматы с часами, прошедшие предварительную регистрацию, и оплатившие турнирный взнос.</w:t>
      </w:r>
    </w:p>
    <w:p>
      <w:pPr>
        <w:spacing w:line="240" w:lineRule="auto"/>
        <w:ind w:right="57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5. Программа проведения: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1.Предварительная регистрация:   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до  22:00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13 мая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года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2.Очное подтверждение регистрации: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11: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0-12: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15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14 мая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года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3.Торжественное открытие и жеребьевка: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12: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15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-12:30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14 мая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года 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4. 1-7 тур: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12:30-1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6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0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 xml:space="preserve">  14 мая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года 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5. Награждение                                 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6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 xml:space="preserve">                  14 мая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года 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highlight w:val="whit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Турнир проводится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highlight w:val="white"/>
          <w:rtl w:val="0"/>
        </w:rPr>
        <w:t xml:space="preserve">по швейцарской системе в 7 туров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с применением компьютерной жеребьёвки (программа SwissManager).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highlight w:val="white"/>
          <w:rtl w:val="0"/>
        </w:rPr>
        <w:t>Контроль времени 10 минут на партию каждому участнику с добавлением 5 секунд на каждый ход начиная с первого.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Допустимое время опоздания на тур – до падения флажка.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Соревнования проводятся по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п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равилам вида спорта "шахматы", утвержденным приказом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м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инистерства спорта Российской федерации № 988 от 29 декабря 2020г. и не противоречащим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п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равилам игры в шахматы ФИДЕ. </w:t>
      </w:r>
    </w:p>
    <w:p>
      <w:pPr>
        <w:ind w:left="-5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Турнир будет выслан на обсчет рейтингов FIDE и ФШР.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Поведение участников турнира регламентируется в соответствии с Положением «О спортивных санкциях в виде спорта «Шахматы».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Обязательный читинг-контроль проводится с соблюдением требований Античитерских правил, утвержденных ФИДЕ при стандартном уровне защиты.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Запрещается оказывать противоправное влияние на результаты спортивных соревнований.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6 .  УСЛОВИЯ ПОДВЕДЕНИЯ ИТОГОВ: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Места в спортивных соревнованиях определяются по сумме набранных очков.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случае равенства набранных очков в турнирах места определяются по дополнительным показателям в порядке убывания значимости.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Для турниров по швейцарской системе: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а</w:t>
      </w:r>
      <w:r>
        <w:rPr>
          <w:rFonts w:hint="default" w:ascii="Times New Roman" w:hAnsi="Times New Roman" w:cs="Times New Roman"/>
          <w:sz w:val="22"/>
          <w:szCs w:val="22"/>
        </w:rPr>
        <w:t>) Личная встреча;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б</w:t>
      </w:r>
      <w:r>
        <w:rPr>
          <w:rFonts w:hint="default" w:ascii="Times New Roman" w:hAnsi="Times New Roman" w:cs="Times New Roman"/>
          <w:sz w:val="22"/>
          <w:szCs w:val="22"/>
        </w:rPr>
        <w:t xml:space="preserve">) Коэффициент Бухгольца;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sz w:val="22"/>
          <w:szCs w:val="22"/>
        </w:rPr>
        <w:t xml:space="preserve">) Усеченный коэффициент Бухгольца (без одного худшего результата);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г</w:t>
      </w:r>
      <w:r>
        <w:rPr>
          <w:rFonts w:hint="default" w:ascii="Times New Roman" w:hAnsi="Times New Roman" w:cs="Times New Roman"/>
          <w:sz w:val="22"/>
          <w:szCs w:val="22"/>
        </w:rPr>
        <w:t xml:space="preserve">) Большее число побед;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д) Число партий, сыгранных черными фигурами (несыгранные партии считаются как «игранные» белыми фигурами);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Для шахматных турниров по круговой системе: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а) Личная встреча;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 xml:space="preserve">б) коэффициент Бергера;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 xml:space="preserve">в) по количеству побед;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г) коэффициент Койя.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несостоявшимся.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6.3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 случае отмены спортивных соревнований, причинами которой послужили обстоятельства непреодолимой силы, до фактического начала последнего или предпоследнего туров, итоги спортивных соревнований будут подведены по результатам фактически сыгранных туров.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after="0"/>
        <w:ind w:left="360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7. Награждение победителей:</w:t>
      </w:r>
    </w:p>
    <w:p>
      <w:pPr>
        <w:shd w:val="clear" w:fill="FFFFFF"/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Победители и призёры турнира награждаются кубками, медалями, грамотами и подарками от партнеров шахматного   турнира “КУБОК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”.</w:t>
      </w:r>
    </w:p>
    <w:p>
      <w:pPr>
        <w:shd w:val="clear" w:fill="FFFFFF"/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Все участники соревнований награждаются сертификатами за участие и подарками.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8.​ УСЛОВИЯ ФИНАНСИРОВАНИЯ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8.1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Все расходы, связанные с проездом участников, сопровождающих лиц, уплатой регистрационного взноса, несут участники и командирующие организации.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8.2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8.3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Все расходы по проведению соревнования, в т.ч. связанные с арендой турнирного помещения, награждением победителей, оплатой работы судейской коллегии несут организаторы Шахматного Турнира “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 202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” (в т.ч. за счет собранных турнирных взносов).</w:t>
      </w:r>
    </w:p>
    <w:p>
      <w:pPr>
        <w:shd w:val="clear" w:color="auto" w:fill="FFFFFF" w:themeFill="background1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8.4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Заявочный взнос составляет: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25</w:t>
      </w:r>
      <w:r>
        <w:rPr>
          <w:rFonts w:hint="default" w:ascii="Times New Roman" w:hAnsi="Times New Roman" w:cs="Times New Roman"/>
          <w:sz w:val="22"/>
          <w:szCs w:val="22"/>
        </w:rPr>
        <w:t>00 рублей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При оплате в день турнира взнос увеличивается на 500 рублей.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Оплатить участие можно: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- онлайн на сайте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instrText xml:space="preserve"> HYPERLINK "https://64kletki.ru/" \o "http://64kletki.ru" </w:instrTex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fldChar w:fldCharType="separate"/>
      </w:r>
      <w:r>
        <w:rPr>
          <w:rStyle w:val="11"/>
          <w:rFonts w:hint="default" w:ascii="Times New Roman" w:hAnsi="Times New Roman" w:cs="Times New Roman"/>
          <w:sz w:val="22"/>
          <w:szCs w:val="22"/>
        </w:rPr>
        <w:t>64kletki.ru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fldChar w:fldCharType="end"/>
      </w:r>
      <w:r>
        <w:rPr>
          <w:rStyle w:val="11"/>
          <w:rFonts w:hint="default" w:ascii="Times New Roman" w:hAnsi="Times New Roman" w:cs="Times New Roman"/>
          <w:sz w:val="22"/>
          <w:szCs w:val="22"/>
          <w:shd w:val="clear" w:color="auto" w:fill="EEFFDE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- наличными в день турнира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lang w:val="ru-RU"/>
        </w:rPr>
        <w:t>- по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  <w:t xml:space="preserve"> реквизит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lang w:val="ru-RU"/>
        </w:rPr>
        <w:t>ам до 12.05.2023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  <w:t>: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Валюта получаемого перевода: Рубли (RUB)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Индивидуальный предприниматель 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Луговой Дмитрий Георгиевич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ОГРНИП: 314502726100118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ИНН : 526098196668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Банк: МОСКОВСКИЙ ФИЛИАЛ АО КБ "МОДУЛЬБАНК"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БИК: 044525092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к/с №: 30101810645250000092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Счёт: 40802810270010001405 (Расчетный счёт)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br w:type="textWrapping"/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При оплате укажите в комментарии к платежу   полное ФИО и дату рождения участника.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В случае отказа от участия в турнире по причинам независящим от оргкомитета заявочный взнос не возвращается.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9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п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равительства Российской Федерации от 18 апреля 2014 года № 353.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ОТВЕТСТВЕННЫЕ ЗА ОБЕСПЕЧЕНИЕ БЕЗОПАСНОСТИ УЧАСТНИКОВ ВНЕ ИГРОВОЙ ЗОНЫ ШАХМАТНОГО ТУРНИРА "КУБОК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ХОРОШО!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202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": РУКОВОДИТЕЛИ ДЕЛЕГАЦИЙ И СОПРОВОЖДАЮЩИЕ ЛИЦА, РОДИТЕЛИ.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Ответственность за детей во время шахматного турнира несут родители и сопровождающие лица.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личных средств, участников соревнований в соответствии с законодательством Российской Федерации и субъектов Российской Федерации.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. ПОДАЧА ЗАЯВОК НА УЧАСТИЕ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color w:val="0000FF"/>
          <w:sz w:val="22"/>
          <w:szCs w:val="22"/>
          <w:u w:val="singl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Предварительная заявка, содержащая информацию о составе участников спортивных соревнований, направляется  до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13 мая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года через форму предварительной регистрации на официальном сайте: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"mailto:mail@64kletki.ru"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color w:val="0000FF"/>
          <w:sz w:val="22"/>
          <w:szCs w:val="22"/>
          <w:u w:val="single"/>
          <w:rtl w:val="0"/>
        </w:rPr>
        <w:t>64kletki.ru</w:t>
      </w:r>
      <w:r>
        <w:rPr>
          <w:rFonts w:hint="default" w:ascii="Times New Roman" w:hAnsi="Times New Roman" w:eastAsia="Times New Roman" w:cs="Times New Roman"/>
          <w:b/>
          <w:color w:val="0000FF"/>
          <w:sz w:val="22"/>
          <w:szCs w:val="22"/>
          <w:u w:val="single"/>
          <w:rtl w:val="0"/>
        </w:rPr>
        <w:fldChar w:fldCharType="end"/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Форма Заявки на участие в спортивных соревнованиях –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Приложение №1.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Спортсменам, не подавшим предварительную Заявку, участие в спортивных соревнованиях не гарантируется.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К заявке прилагаются следующие документы на каждого спортсмена: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копия паспорта гражданина Российской Федерации или свидетельство о рождении (для спортсменов, не достигших 14 лет);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анкету участника (заполняется лично во время работы комиссии по допуску);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документ, подтверждающий отсутствие медицинских противопоказаний для участия выданных спортивных соревнованиях;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Родители,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 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(Федерации шахмат Подмосковья) осуществляет сбор и обработку персональных данных его участников.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Контакты Организаторов: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20" w:right="57" w:hanging="360"/>
        <w:jc w:val="both"/>
        <w:rPr>
          <w:rFonts w:hint="default" w:ascii="Times New Roman" w:hAnsi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Директор 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ш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ахматного турнира – Луговой Дмитрий Георгиевич,</w:t>
      </w:r>
    </w:p>
    <w:p>
      <w:pPr>
        <w:spacing w:line="240" w:lineRule="auto"/>
        <w:ind w:left="360" w:right="57" w:firstLine="0"/>
        <w:jc w:val="both"/>
        <w:rPr>
          <w:rFonts w:hint="default" w:ascii="Times New Roman" w:hAnsi="Times New Roman" w:eastAsia="Times New Roman" w:cs="Times New Roman"/>
          <w:b w:val="0"/>
          <w:bCs/>
          <w:color w:val="17365D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e-mail: </w:t>
      </w:r>
      <w:r>
        <w:rPr>
          <w:rFonts w:hint="default" w:ascii="Times New Roman" w:hAnsi="Times New Roman" w:eastAsia="Times New Roman" w:cs="Times New Roman"/>
          <w:b w:val="0"/>
          <w:bCs/>
          <w:color w:val="17365D"/>
          <w:sz w:val="22"/>
          <w:szCs w:val="22"/>
          <w:rtl w:val="0"/>
        </w:rPr>
        <w:t>mail@64kletki.ru</w:t>
      </w:r>
    </w:p>
    <w:p>
      <w:pPr>
        <w:spacing w:line="240" w:lineRule="auto"/>
        <w:ind w:left="720" w:right="57" w:firstLine="720"/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ПРЕДВАРИТЕЛЬНАЯ РЕГИСТРАЦИЯ ОБЯЗАТЕЛЬНА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КОЛИЧЕСТВО МЕСТ ОГРАНИЧЕНО.ВСЕ УТОЧНЕНИЯ И ДОПОЛНЕНИЯ К НАСТОЯЩЕМУ ПОЛОЖЕНИЮ РЕГУЛИРУЮТСЯ РЕГЛАМЕНТОМ</w:t>
      </w:r>
    </w:p>
    <w:p>
      <w:pPr>
        <w:spacing w:before="60" w:line="291" w:lineRule="auto"/>
        <w:ind w:right="120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</w:p>
    <w:p>
      <w:pPr>
        <w:spacing w:before="60" w:line="291" w:lineRule="auto"/>
        <w:ind w:right="120"/>
        <w:jc w:val="right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before="60" w:line="291" w:lineRule="auto"/>
        <w:ind w:right="120"/>
        <w:jc w:val="right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before="60" w:line="291" w:lineRule="auto"/>
        <w:ind w:right="120"/>
        <w:jc w:val="right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Приложение №1</w:t>
      </w:r>
    </w:p>
    <w:p>
      <w:pPr>
        <w:spacing w:before="100" w:line="294" w:lineRule="auto"/>
        <w:ind w:left="700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ЗАЯВКА</w:t>
      </w:r>
    </w:p>
    <w:p>
      <w:pPr>
        <w:spacing w:line="290" w:lineRule="auto"/>
        <w:ind w:left="700" w:right="1516" w:firstLine="0"/>
        <w:rPr>
          <w:rFonts w:hint="default"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От _______________________________       На участие в спортивных соревнованиях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“КУБОК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ХОРОШО!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”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Проводимых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  <w:lang w:val="ru-RU"/>
        </w:rPr>
        <w:t>14 мая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</w:rPr>
        <w:t xml:space="preserve">  202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</w:rPr>
        <w:t xml:space="preserve"> года        </w:t>
      </w:r>
    </w:p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tbl>
      <w:tblPr>
        <w:tblStyle w:val="14"/>
        <w:tblW w:w="94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40"/>
        <w:gridCol w:w="1512"/>
        <w:gridCol w:w="1276"/>
        <w:gridCol w:w="1427"/>
        <w:gridCol w:w="1635"/>
        <w:gridCol w:w="1125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41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20" w:right="220" w:firstLine="0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№п/п</w:t>
            </w:r>
          </w:p>
        </w:tc>
        <w:tc>
          <w:tcPr>
            <w:tcW w:w="15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right="-41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Дата Рождения</w:t>
            </w:r>
          </w:p>
        </w:tc>
        <w:tc>
          <w:tcPr>
            <w:tcW w:w="14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40" w:right="10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Спортивный разряд, звание</w:t>
            </w:r>
          </w:p>
        </w:tc>
        <w:tc>
          <w:tcPr>
            <w:tcW w:w="1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80" w:right="14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Спортивная Дисциплина</w:t>
            </w:r>
          </w:p>
        </w:tc>
        <w:tc>
          <w:tcPr>
            <w:tcW w:w="112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Контактный e-mail и телефон</w:t>
            </w:r>
          </w:p>
        </w:tc>
        <w:tc>
          <w:tcPr>
            <w:tcW w:w="13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spacing w:line="294" w:lineRule="auto"/>
              <w:ind w:left="25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Виза 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2" w:hRule="atLeast"/>
        </w:trPr>
        <w:tc>
          <w:tcPr>
            <w:tcW w:w="11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80" w:line="294" w:lineRule="auto"/>
              <w:ind w:left="2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1</w:t>
            </w:r>
          </w:p>
        </w:tc>
        <w:tc>
          <w:tcPr>
            <w:tcW w:w="151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line="290" w:lineRule="auto"/>
        <w:ind w:right="556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Представитель спортсмена К соревнованию допущен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</w:rPr>
        <w:t>______________________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Врач__ _____ 202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года </w:t>
      </w:r>
    </w:p>
    <w:p>
      <w:pPr>
        <w:spacing w:line="294" w:lineRule="auto"/>
        <w:ind w:right="14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______________________</w:t>
      </w:r>
    </w:p>
    <w:p>
      <w:pPr>
        <w:spacing w:before="120" w:line="294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="120" w:line="294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sectPr>
      <w:footerReference r:id="rId3" w:type="default"/>
      <w:pgSz w:w="11909" w:h="16834"/>
      <w:pgMar w:top="993" w:right="1440" w:bottom="1843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16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✔"/>
      <w:lvlJc w:val="left"/>
      <w:pPr>
        <w:ind w:left="7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0D07B3E"/>
    <w:rsid w:val="135C1B73"/>
    <w:rsid w:val="1DC938D2"/>
    <w:rsid w:val="207A1702"/>
    <w:rsid w:val="33C26DCC"/>
    <w:rsid w:val="52E85DE1"/>
    <w:rsid w:val="56717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2022-08-30T11:34:00Z</dcterms:created>
  <dc:creator>Дмитрий</dc:creator>
  <cp:lastModifiedBy>Dmitriy Lugovoy</cp:lastModifiedBy>
  <dcterms:modified xsi:type="dcterms:W3CDTF">2023-05-02T17:18:17Z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